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4A0D" w14:textId="1B9701D1" w:rsidR="005D1AD3" w:rsidRPr="005D1AD3" w:rsidRDefault="00ED67F2" w:rsidP="00ED67F2">
      <w:pPr>
        <w:jc w:val="center"/>
        <w:rPr>
          <w:rFonts w:ascii="Playfair Display" w:hAnsi="Playfair Display"/>
          <w:b/>
          <w:bCs/>
          <w:sz w:val="40"/>
          <w:szCs w:val="40"/>
        </w:rPr>
      </w:pPr>
      <w:r w:rsidRPr="005D1AD3">
        <w:rPr>
          <w:rFonts w:ascii="Playfair Display" w:hAnsi="Playfair Display"/>
          <w:b/>
          <w:bCs/>
          <w:sz w:val="40"/>
          <w:szCs w:val="40"/>
        </w:rPr>
        <w:t>C</w:t>
      </w:r>
      <w:r w:rsidR="005D1AD3" w:rsidRPr="005D1AD3">
        <w:rPr>
          <w:rFonts w:ascii="Playfair Display" w:hAnsi="Playfair Display"/>
          <w:b/>
          <w:bCs/>
          <w:sz w:val="40"/>
          <w:szCs w:val="40"/>
        </w:rPr>
        <w:t>all for papers</w:t>
      </w:r>
      <w:r w:rsidRPr="005D1AD3">
        <w:rPr>
          <w:rFonts w:ascii="Playfair Display" w:hAnsi="Playfair Display"/>
          <w:b/>
          <w:bCs/>
          <w:sz w:val="40"/>
          <w:szCs w:val="40"/>
        </w:rPr>
        <w:t xml:space="preserve">: </w:t>
      </w:r>
      <w:r w:rsidR="005D1AD3" w:rsidRPr="005D1AD3">
        <w:rPr>
          <w:rFonts w:ascii="Playfair Display" w:hAnsi="Playfair Display"/>
          <w:b/>
          <w:bCs/>
          <w:sz w:val="40"/>
          <w:szCs w:val="40"/>
        </w:rPr>
        <w:t>Piston, Pen &amp; Press</w:t>
      </w:r>
    </w:p>
    <w:p w14:paraId="392D4388" w14:textId="2D87339E" w:rsidR="005D1AD3" w:rsidRPr="005D1AD3" w:rsidRDefault="005D1AD3" w:rsidP="00ED67F2">
      <w:pPr>
        <w:jc w:val="center"/>
        <w:rPr>
          <w:rFonts w:ascii="Playfair Display" w:hAnsi="Playfair Display"/>
          <w:sz w:val="40"/>
          <w:szCs w:val="40"/>
          <w:lang w:val="en-US" w:eastAsia="zh-CN"/>
        </w:rPr>
      </w:pPr>
      <w:r>
        <w:rPr>
          <w:rFonts w:ascii="Playfair Display" w:hAnsi="Playfair Display"/>
          <w:noProof/>
          <w:sz w:val="40"/>
          <w:szCs w:val="40"/>
          <w:lang w:val="en-US" w:eastAsia="zh-CN"/>
        </w:rPr>
        <w:drawing>
          <wp:inline distT="0" distB="0" distL="0" distR="0" wp14:anchorId="36D3F85C" wp14:editId="43DBB1B3">
            <wp:extent cx="914400" cy="1231900"/>
            <wp:effectExtent l="0" t="0" r="0" b="0"/>
            <wp:docPr id="1" name="Picture 1" descr="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rcl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4EFA3" w14:textId="6136FA83" w:rsidR="007817EB" w:rsidRPr="005D1AD3" w:rsidRDefault="0098796E" w:rsidP="00ED67F2">
      <w:pPr>
        <w:jc w:val="center"/>
        <w:rPr>
          <w:rFonts w:ascii="Playfair Display" w:hAnsi="Playfair Display"/>
          <w:sz w:val="40"/>
          <w:szCs w:val="40"/>
          <w:lang w:val="en-US" w:eastAsia="zh-CN"/>
        </w:rPr>
      </w:pPr>
      <w:r w:rsidRPr="005D1AD3">
        <w:rPr>
          <w:rFonts w:ascii="Playfair Display" w:hAnsi="Playfair Display"/>
          <w:sz w:val="40"/>
          <w:szCs w:val="40"/>
        </w:rPr>
        <w:t xml:space="preserve"> INDUSTRIAL LABOUR &amp; CULTURAL ENGAGEMENT</w:t>
      </w:r>
      <w:r w:rsidR="005D1AD3">
        <w:rPr>
          <w:rFonts w:ascii="Playfair Display" w:hAnsi="Playfair Display"/>
          <w:sz w:val="40"/>
          <w:szCs w:val="40"/>
        </w:rPr>
        <w:t xml:space="preserve"> </w:t>
      </w:r>
      <w:r w:rsidR="005D1AD3">
        <w:rPr>
          <w:rFonts w:ascii="Playfair Display" w:hAnsi="Playfair Display"/>
          <w:sz w:val="40"/>
          <w:szCs w:val="40"/>
          <w:lang w:val="en-US" w:eastAsia="zh-CN"/>
        </w:rPr>
        <w:t>IN THE LONG NINETEENTH CENTURY</w:t>
      </w:r>
    </w:p>
    <w:p w14:paraId="1CA8AE20" w14:textId="77777777" w:rsidR="00ED67F2" w:rsidRPr="005D1AD3" w:rsidRDefault="00ED67F2" w:rsidP="00ED67F2">
      <w:pPr>
        <w:jc w:val="center"/>
        <w:rPr>
          <w:rFonts w:ascii="Playfair Display" w:hAnsi="Playfair Display"/>
          <w:sz w:val="40"/>
          <w:szCs w:val="40"/>
        </w:rPr>
      </w:pPr>
    </w:p>
    <w:p w14:paraId="09DB9ED6" w14:textId="0278F7CC" w:rsidR="00ED67F2" w:rsidRPr="005D1AD3" w:rsidRDefault="00ED67F2" w:rsidP="005D1AD3">
      <w:pPr>
        <w:jc w:val="center"/>
        <w:rPr>
          <w:rFonts w:ascii="Playfair Display" w:hAnsi="Playfair Display"/>
          <w:sz w:val="36"/>
          <w:szCs w:val="36"/>
        </w:rPr>
      </w:pPr>
      <w:r w:rsidRPr="005D1AD3">
        <w:rPr>
          <w:rFonts w:ascii="Playfair Display" w:hAnsi="Playfair Display"/>
          <w:sz w:val="36"/>
          <w:szCs w:val="36"/>
        </w:rPr>
        <w:t>18</w:t>
      </w:r>
      <w:r w:rsidRPr="005D1AD3">
        <w:rPr>
          <w:rFonts w:ascii="Playfair Display" w:hAnsi="Playfair Display"/>
          <w:sz w:val="36"/>
          <w:szCs w:val="36"/>
          <w:vertAlign w:val="superscript"/>
        </w:rPr>
        <w:t>th</w:t>
      </w:r>
      <w:r w:rsidRPr="005D1AD3">
        <w:rPr>
          <w:rFonts w:ascii="Playfair Display" w:hAnsi="Playfair Display"/>
          <w:sz w:val="36"/>
          <w:szCs w:val="36"/>
        </w:rPr>
        <w:t>-19</w:t>
      </w:r>
      <w:r w:rsidRPr="005D1AD3">
        <w:rPr>
          <w:rFonts w:ascii="Playfair Display" w:hAnsi="Playfair Display"/>
          <w:sz w:val="36"/>
          <w:szCs w:val="36"/>
          <w:vertAlign w:val="superscript"/>
        </w:rPr>
        <w:t>th</w:t>
      </w:r>
      <w:r w:rsidRPr="005D1AD3">
        <w:rPr>
          <w:rFonts w:ascii="Playfair Display" w:hAnsi="Playfair Display"/>
          <w:sz w:val="36"/>
          <w:szCs w:val="36"/>
        </w:rPr>
        <w:t xml:space="preserve"> </w:t>
      </w:r>
      <w:r w:rsidR="005D1AD3">
        <w:rPr>
          <w:rFonts w:ascii="Playfair Display" w:hAnsi="Playfair Display"/>
          <w:sz w:val="36"/>
          <w:szCs w:val="36"/>
        </w:rPr>
        <w:t>A</w:t>
      </w:r>
      <w:r w:rsidRPr="005D1AD3">
        <w:rPr>
          <w:rFonts w:ascii="Playfair Display" w:hAnsi="Playfair Display"/>
          <w:sz w:val="36"/>
          <w:szCs w:val="36"/>
        </w:rPr>
        <w:t xml:space="preserve">ugust 2022, </w:t>
      </w:r>
      <w:r w:rsidR="005D1AD3">
        <w:rPr>
          <w:rFonts w:ascii="Playfair Display" w:hAnsi="Playfair Display"/>
          <w:sz w:val="36"/>
          <w:szCs w:val="36"/>
        </w:rPr>
        <w:t>M</w:t>
      </w:r>
      <w:r w:rsidRPr="005D1AD3">
        <w:rPr>
          <w:rFonts w:ascii="Playfair Display" w:hAnsi="Playfair Display"/>
          <w:sz w:val="36"/>
          <w:szCs w:val="36"/>
        </w:rPr>
        <w:t>anchester</w:t>
      </w:r>
    </w:p>
    <w:p w14:paraId="2D731F6F" w14:textId="0BF96FBC" w:rsidR="00ED67F2" w:rsidRPr="005D1AD3" w:rsidRDefault="00ED67F2" w:rsidP="00ED67F2">
      <w:pPr>
        <w:jc w:val="center"/>
        <w:rPr>
          <w:rFonts w:ascii="Playfair Display" w:hAnsi="Playfair Display"/>
          <w:sz w:val="40"/>
          <w:szCs w:val="40"/>
        </w:rPr>
      </w:pPr>
    </w:p>
    <w:p w14:paraId="30BC6F1C" w14:textId="10A4FD3E" w:rsidR="00856B11" w:rsidRDefault="00ED67F2" w:rsidP="00ED67F2">
      <w:p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This conference </w:t>
      </w:r>
      <w:r w:rsidR="005D1AD3" w:rsidRPr="00280723">
        <w:rPr>
          <w:rFonts w:ascii="Playfair Display" w:hAnsi="Playfair Display" w:cs="Times New Roman"/>
        </w:rPr>
        <w:t>stems from the AHRC-funded ‘Piston, Pen &amp; Press’ project</w:t>
      </w:r>
      <w:r w:rsidR="00280723">
        <w:rPr>
          <w:rFonts w:ascii="Playfair Display" w:hAnsi="Playfair Display" w:cs="Times New Roman"/>
        </w:rPr>
        <w:t xml:space="preserve"> (</w:t>
      </w:r>
      <w:hyperlink r:id="rId6" w:history="1">
        <w:r w:rsidR="00280723" w:rsidRPr="000A0C2D">
          <w:rPr>
            <w:rStyle w:val="Hyperlink"/>
            <w:rFonts w:ascii="Playfair Display" w:hAnsi="Playfair Display" w:cs="Times New Roman"/>
          </w:rPr>
          <w:t>www.pistonpenandpress.org</w:t>
        </w:r>
      </w:hyperlink>
      <w:r w:rsidR="00280723">
        <w:rPr>
          <w:rFonts w:ascii="Playfair Display" w:hAnsi="Playfair Display" w:cs="Times New Roman"/>
        </w:rPr>
        <w:t>)</w:t>
      </w:r>
      <w:r w:rsidR="005D1AD3" w:rsidRPr="00280723">
        <w:rPr>
          <w:rFonts w:ascii="Playfair Display" w:hAnsi="Playfair Display" w:cs="Times New Roman"/>
        </w:rPr>
        <w:t>, and its focus on industrial workers as producers and consumers of literary culture. It is designed to expand on the remit of this project and to discuss and reflect upon a wider range of cultural activities engaged in by industrial workers – for example, as dramatists and theatre-goers, as musicians and composers, as artists and visitors to exhibitions and galleries – as well as considering the state of critical work in this field and new directions for research.</w:t>
      </w:r>
      <w:r w:rsidR="00E425B4">
        <w:rPr>
          <w:rFonts w:ascii="Playfair Display" w:hAnsi="Playfair Display" w:cs="Times New Roman"/>
        </w:rPr>
        <w:t xml:space="preserve"> </w:t>
      </w:r>
      <w:r w:rsidR="00FC3E62" w:rsidRPr="00280723">
        <w:rPr>
          <w:rFonts w:ascii="Playfair Display" w:hAnsi="Playfair Display" w:cs="Times New Roman"/>
        </w:rPr>
        <w:t>‘Piston, Pen &amp; Press’ focuses primarily on Scotland and the North of England</w:t>
      </w:r>
      <w:r w:rsidR="00E425B4">
        <w:rPr>
          <w:rFonts w:ascii="Playfair Display" w:hAnsi="Playfair Display" w:cs="Times New Roman"/>
        </w:rPr>
        <w:t>:</w:t>
      </w:r>
      <w:r w:rsidR="00FC3E62" w:rsidRPr="00280723">
        <w:rPr>
          <w:rFonts w:ascii="Playfair Display" w:hAnsi="Playfair Display" w:cs="Times New Roman"/>
        </w:rPr>
        <w:t xml:space="preserve"> we are </w:t>
      </w:r>
      <w:r w:rsidR="00856B11">
        <w:rPr>
          <w:rFonts w:ascii="Playfair Display" w:hAnsi="Playfair Display" w:cs="Times New Roman"/>
        </w:rPr>
        <w:t xml:space="preserve">also </w:t>
      </w:r>
      <w:r w:rsidR="00FC3E62" w:rsidRPr="00280723">
        <w:rPr>
          <w:rFonts w:ascii="Playfair Display" w:hAnsi="Playfair Display" w:cs="Times New Roman"/>
        </w:rPr>
        <w:t xml:space="preserve">interested in papers which consider literary and other productions </w:t>
      </w:r>
      <w:r w:rsidR="00E425B4">
        <w:rPr>
          <w:rFonts w:ascii="Playfair Display" w:hAnsi="Playfair Display" w:cs="Times New Roman"/>
        </w:rPr>
        <w:t xml:space="preserve">in Britain more widely, and in papers which connect British cultural productions to those of international industrial workers, </w:t>
      </w:r>
      <w:r w:rsidR="00856B11">
        <w:rPr>
          <w:rFonts w:ascii="Playfair Display" w:hAnsi="Playfair Display" w:cs="Times New Roman"/>
        </w:rPr>
        <w:t xml:space="preserve">in order to </w:t>
      </w:r>
      <w:r w:rsidR="00E425B4">
        <w:rPr>
          <w:rFonts w:ascii="Playfair Display" w:hAnsi="Playfair Display" w:cs="Times New Roman"/>
        </w:rPr>
        <w:t>make transnational or transcultural comparisons</w:t>
      </w:r>
      <w:r w:rsidR="00FC3E62" w:rsidRPr="00280723">
        <w:rPr>
          <w:rFonts w:ascii="Playfair Display" w:hAnsi="Playfair Display" w:cs="Times New Roman"/>
        </w:rPr>
        <w:t xml:space="preserve">. </w:t>
      </w:r>
    </w:p>
    <w:p w14:paraId="28719B59" w14:textId="77777777" w:rsidR="00856B11" w:rsidRDefault="00856B11" w:rsidP="00ED67F2">
      <w:pPr>
        <w:rPr>
          <w:rFonts w:ascii="Playfair Display" w:hAnsi="Playfair Display" w:cs="Times New Roman"/>
        </w:rPr>
      </w:pPr>
    </w:p>
    <w:p w14:paraId="71180ABA" w14:textId="47FF4E74" w:rsidR="005D1AD3" w:rsidRPr="00280723" w:rsidRDefault="005D1AD3" w:rsidP="00ED67F2">
      <w:p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>Given the project’s connections with industrial heritage museums and archives, we</w:t>
      </w:r>
      <w:r w:rsidR="00385DA2">
        <w:rPr>
          <w:rFonts w:ascii="Playfair Display" w:hAnsi="Playfair Display" w:cs="Times New Roman"/>
          <w:lang w:eastAsia="zh-CN"/>
        </w:rPr>
        <w:t xml:space="preserve"> </w:t>
      </w:r>
      <w:r w:rsidR="00385DA2">
        <w:rPr>
          <w:rFonts w:ascii="Playfair Display" w:hAnsi="Playfair Display" w:cs="Times New Roman"/>
          <w:lang w:val="en-US" w:eastAsia="zh-CN"/>
        </w:rPr>
        <w:t xml:space="preserve">additionally seek to </w:t>
      </w:r>
      <w:r w:rsidRPr="00280723">
        <w:rPr>
          <w:rFonts w:ascii="Playfair Display" w:hAnsi="Playfair Display" w:cs="Times New Roman" w:hint="eastAsia"/>
          <w:lang w:eastAsia="zh-CN"/>
        </w:rPr>
        <w:t>e</w:t>
      </w:r>
      <w:r w:rsidRPr="00280723">
        <w:rPr>
          <w:rFonts w:ascii="Playfair Display" w:hAnsi="Playfair Display" w:cs="Times New Roman"/>
        </w:rPr>
        <w:t>xplor</w:t>
      </w:r>
      <w:r w:rsidR="00385DA2">
        <w:rPr>
          <w:rFonts w:ascii="Playfair Display" w:hAnsi="Playfair Display" w:cs="Times New Roman"/>
        </w:rPr>
        <w:t>e</w:t>
      </w:r>
      <w:r w:rsidRPr="00280723">
        <w:rPr>
          <w:rFonts w:ascii="Playfair Display" w:hAnsi="Playfair Display" w:cs="Times New Roman"/>
        </w:rPr>
        <w:t xml:space="preserve"> the ways in which creative, cultural and artistic activity by workers is, or could be, included in museum holdings</w:t>
      </w:r>
      <w:r w:rsidR="00FC3E62" w:rsidRPr="00280723">
        <w:rPr>
          <w:rFonts w:ascii="Playfair Display" w:hAnsi="Playfair Display" w:cs="Times New Roman"/>
        </w:rPr>
        <w:t>, and used to engage twenty-first century audiences and communities. We therefore welcome proposals from museum, library and heritage professionals and from creative practitioners, as well as from academic and independent researchers.</w:t>
      </w:r>
    </w:p>
    <w:p w14:paraId="4ECCE207" w14:textId="51D27580" w:rsidR="008637DE" w:rsidRPr="00280723" w:rsidRDefault="008637DE" w:rsidP="00ED67F2">
      <w:pPr>
        <w:rPr>
          <w:rFonts w:ascii="Playfair Display" w:hAnsi="Playfair Display" w:cs="Times New Roman"/>
        </w:rPr>
      </w:pPr>
    </w:p>
    <w:p w14:paraId="19508DEA" w14:textId="116C33BE" w:rsidR="008637DE" w:rsidRPr="00280723" w:rsidRDefault="008637DE" w:rsidP="00ED67F2">
      <w:p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This conference has </w:t>
      </w:r>
      <w:r w:rsidR="00E425B4">
        <w:rPr>
          <w:rFonts w:ascii="Playfair Display" w:hAnsi="Playfair Display" w:cs="Times New Roman"/>
        </w:rPr>
        <w:t>three</w:t>
      </w:r>
      <w:r w:rsidRPr="00280723">
        <w:rPr>
          <w:rFonts w:ascii="Playfair Display" w:hAnsi="Playfair Display" w:cs="Times New Roman"/>
        </w:rPr>
        <w:t xml:space="preserve"> main </w:t>
      </w:r>
      <w:r w:rsidR="004F4467" w:rsidRPr="00280723">
        <w:rPr>
          <w:rFonts w:ascii="Playfair Display" w:hAnsi="Playfair Display" w:cs="Times New Roman"/>
        </w:rPr>
        <w:t>themes</w:t>
      </w:r>
      <w:r w:rsidRPr="00280723">
        <w:rPr>
          <w:rFonts w:ascii="Playfair Display" w:hAnsi="Playfair Display" w:cs="Times New Roman"/>
        </w:rPr>
        <w:t>:</w:t>
      </w:r>
    </w:p>
    <w:p w14:paraId="206F1AF0" w14:textId="7B68A3AF" w:rsidR="008637DE" w:rsidRPr="00280723" w:rsidRDefault="004F4467" w:rsidP="008637DE">
      <w:pPr>
        <w:pStyle w:val="ListParagraph"/>
        <w:numPr>
          <w:ilvl w:val="0"/>
          <w:numId w:val="1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Reflection – we </w:t>
      </w:r>
      <w:r w:rsidR="00223291" w:rsidRPr="00280723">
        <w:rPr>
          <w:rFonts w:ascii="Playfair Display" w:hAnsi="Playfair Display" w:cs="Times New Roman"/>
        </w:rPr>
        <w:t>wish to reflect</w:t>
      </w:r>
      <w:r w:rsidRPr="00280723">
        <w:rPr>
          <w:rFonts w:ascii="Playfair Display" w:hAnsi="Playfair Display" w:cs="Times New Roman"/>
        </w:rPr>
        <w:t xml:space="preserve"> on the current state of the field and identify</w:t>
      </w:r>
      <w:r w:rsidR="0098796E" w:rsidRPr="00280723">
        <w:rPr>
          <w:rFonts w:ascii="Playfair Display" w:hAnsi="Playfair Display" w:cs="Times New Roman"/>
        </w:rPr>
        <w:t>ing</w:t>
      </w:r>
      <w:r w:rsidRPr="00280723">
        <w:rPr>
          <w:rFonts w:ascii="Playfair Display" w:hAnsi="Playfair Display" w:cs="Times New Roman"/>
        </w:rPr>
        <w:t xml:space="preserve"> future areas of research.</w:t>
      </w:r>
    </w:p>
    <w:p w14:paraId="1DEC2A34" w14:textId="4BAFD15C" w:rsidR="003501CB" w:rsidRPr="00280723" w:rsidRDefault="003501CB" w:rsidP="003501CB">
      <w:pPr>
        <w:pStyle w:val="ListParagraph"/>
        <w:numPr>
          <w:ilvl w:val="0"/>
          <w:numId w:val="1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Expansion – we </w:t>
      </w:r>
      <w:r w:rsidR="00223291" w:rsidRPr="00280723">
        <w:rPr>
          <w:rFonts w:ascii="Playfair Display" w:hAnsi="Playfair Display" w:cs="Times New Roman"/>
        </w:rPr>
        <w:t>wish</w:t>
      </w:r>
      <w:r w:rsidRPr="00280723">
        <w:rPr>
          <w:rFonts w:ascii="Playfair Display" w:hAnsi="Playfair Display" w:cs="Times New Roman"/>
        </w:rPr>
        <w:t xml:space="preserve"> </w:t>
      </w:r>
      <w:r w:rsidR="00223291" w:rsidRPr="00280723">
        <w:rPr>
          <w:rFonts w:ascii="Playfair Display" w:hAnsi="Playfair Display" w:cs="Times New Roman"/>
        </w:rPr>
        <w:t>to explore</w:t>
      </w:r>
      <w:r w:rsidRPr="00280723">
        <w:rPr>
          <w:rFonts w:ascii="Playfair Display" w:hAnsi="Playfair Display" w:cs="Times New Roman"/>
        </w:rPr>
        <w:t xml:space="preserve"> working-class cultural production and engagement beyond the printed page </w:t>
      </w:r>
      <w:proofErr w:type="gramStart"/>
      <w:r w:rsidRPr="00280723">
        <w:rPr>
          <w:rFonts w:ascii="Playfair Display" w:hAnsi="Playfair Display" w:cs="Times New Roman"/>
        </w:rPr>
        <w:t>e.g.</w:t>
      </w:r>
      <w:proofErr w:type="gramEnd"/>
      <w:r w:rsidRPr="00280723">
        <w:rPr>
          <w:rFonts w:ascii="Playfair Display" w:hAnsi="Playfair Display" w:cs="Times New Roman"/>
        </w:rPr>
        <w:t xml:space="preserve"> art, music, </w:t>
      </w:r>
      <w:r w:rsidR="00223291" w:rsidRPr="00280723">
        <w:rPr>
          <w:rFonts w:ascii="Playfair Display" w:hAnsi="Playfair Display" w:cs="Times New Roman"/>
        </w:rPr>
        <w:t xml:space="preserve">photography, </w:t>
      </w:r>
      <w:r w:rsidRPr="00280723">
        <w:rPr>
          <w:rFonts w:ascii="Playfair Display" w:hAnsi="Playfair Display" w:cs="Times New Roman"/>
        </w:rPr>
        <w:t>drama.</w:t>
      </w:r>
    </w:p>
    <w:p w14:paraId="0E9FE709" w14:textId="6C516BFD" w:rsidR="007266B5" w:rsidRPr="00280723" w:rsidRDefault="007266B5" w:rsidP="008637DE">
      <w:pPr>
        <w:pStyle w:val="ListParagraph"/>
        <w:numPr>
          <w:ilvl w:val="0"/>
          <w:numId w:val="1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lastRenderedPageBreak/>
        <w:t>Engagement</w:t>
      </w:r>
      <w:r w:rsidR="004F4467" w:rsidRPr="00280723">
        <w:rPr>
          <w:rFonts w:ascii="Playfair Display" w:hAnsi="Playfair Display" w:cs="Times New Roman"/>
        </w:rPr>
        <w:t xml:space="preserve"> – </w:t>
      </w:r>
      <w:r w:rsidRPr="00280723">
        <w:rPr>
          <w:rFonts w:ascii="Playfair Display" w:hAnsi="Playfair Display" w:cs="Times New Roman"/>
        </w:rPr>
        <w:t xml:space="preserve">we </w:t>
      </w:r>
      <w:r w:rsidR="00223291" w:rsidRPr="00280723">
        <w:rPr>
          <w:rFonts w:ascii="Playfair Display" w:hAnsi="Playfair Display" w:cs="Times New Roman"/>
        </w:rPr>
        <w:t>wish to</w:t>
      </w:r>
      <w:r w:rsidRPr="00280723">
        <w:rPr>
          <w:rFonts w:ascii="Playfair Display" w:hAnsi="Playfair Display" w:cs="Times New Roman"/>
        </w:rPr>
        <w:t xml:space="preserve"> explor</w:t>
      </w:r>
      <w:r w:rsidR="00223291" w:rsidRPr="00280723">
        <w:rPr>
          <w:rFonts w:ascii="Playfair Display" w:hAnsi="Playfair Display" w:cs="Times New Roman"/>
        </w:rPr>
        <w:t>e</w:t>
      </w:r>
      <w:r w:rsidRPr="00280723">
        <w:rPr>
          <w:rFonts w:ascii="Playfair Display" w:hAnsi="Playfair Display" w:cs="Times New Roman"/>
        </w:rPr>
        <w:t xml:space="preserve"> the role of working-class </w:t>
      </w:r>
      <w:r w:rsidR="00E425B4">
        <w:rPr>
          <w:rFonts w:ascii="Playfair Display" w:hAnsi="Playfair Display" w:cs="Times New Roman"/>
        </w:rPr>
        <w:t>cultural productions</w:t>
      </w:r>
      <w:r w:rsidRPr="00280723">
        <w:rPr>
          <w:rFonts w:ascii="Playfair Display" w:hAnsi="Playfair Display" w:cs="Times New Roman"/>
        </w:rPr>
        <w:t xml:space="preserve"> in the creative and heritage sectors.</w:t>
      </w:r>
    </w:p>
    <w:p w14:paraId="474F6DA3" w14:textId="77777777" w:rsidR="007266B5" w:rsidRPr="00280723" w:rsidRDefault="007266B5" w:rsidP="007266B5">
      <w:pPr>
        <w:rPr>
          <w:rFonts w:ascii="Playfair Display" w:hAnsi="Playfair Display" w:cs="Times New Roman"/>
        </w:rPr>
      </w:pPr>
    </w:p>
    <w:p w14:paraId="22464C5D" w14:textId="2493E6ED" w:rsidR="0045698C" w:rsidRPr="00280723" w:rsidRDefault="0045698C" w:rsidP="007266B5">
      <w:pPr>
        <w:rPr>
          <w:rFonts w:ascii="Playfair Display" w:hAnsi="Playfair Display" w:cs="Times New Roman"/>
        </w:rPr>
      </w:pPr>
      <w:r>
        <w:rPr>
          <w:rFonts w:ascii="Playfair Display" w:hAnsi="Playfair Display" w:cs="Times New Roman"/>
        </w:rPr>
        <w:t xml:space="preserve">In this </w:t>
      </w:r>
      <w:r w:rsidR="00E425B4">
        <w:rPr>
          <w:rFonts w:ascii="Playfair Display" w:hAnsi="Playfair Display" w:cs="Times New Roman"/>
        </w:rPr>
        <w:t>CFP</w:t>
      </w:r>
      <w:r>
        <w:rPr>
          <w:rFonts w:ascii="Playfair Display" w:hAnsi="Playfair Display" w:cs="Times New Roman"/>
        </w:rPr>
        <w:t xml:space="preserve"> ‘working-class’ refers to an historical subject which is</w:t>
      </w:r>
      <w:r w:rsidR="0028730E">
        <w:rPr>
          <w:rFonts w:ascii="Playfair Display" w:hAnsi="Playfair Display" w:cs="Times New Roman"/>
        </w:rPr>
        <w:t xml:space="preserve"> not homogeneous but rather</w:t>
      </w:r>
      <w:r>
        <w:rPr>
          <w:rFonts w:ascii="Playfair Display" w:hAnsi="Playfair Display" w:cs="Times New Roman"/>
        </w:rPr>
        <w:t xml:space="preserve"> internally differentiated by multiple factors including (but not limited to) gender, race, ethnicity, sexuality and religious affiliation</w:t>
      </w:r>
      <w:r w:rsidR="0028730E">
        <w:rPr>
          <w:rFonts w:ascii="Playfair Display" w:hAnsi="Playfair Display" w:cs="Times New Roman"/>
        </w:rPr>
        <w:t>.</w:t>
      </w:r>
      <w:r w:rsidR="00E425B4">
        <w:rPr>
          <w:rFonts w:ascii="Playfair Display" w:hAnsi="Playfair Display" w:cs="Times New Roman"/>
        </w:rPr>
        <w:t xml:space="preserve"> We welcome papers that explore this complexity. Possible topics include:</w:t>
      </w:r>
    </w:p>
    <w:p w14:paraId="2F66A219" w14:textId="0F6572D9" w:rsidR="007266B5" w:rsidRPr="00280723" w:rsidRDefault="007266B5" w:rsidP="007266B5">
      <w:pPr>
        <w:rPr>
          <w:rFonts w:ascii="Playfair Display" w:hAnsi="Playfair Display" w:cs="Times New Roman"/>
        </w:rPr>
      </w:pPr>
    </w:p>
    <w:p w14:paraId="2B78F01A" w14:textId="63F42443" w:rsidR="007266B5" w:rsidRPr="00280723" w:rsidRDefault="007266B5" w:rsidP="007266B5">
      <w:p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  <w:i/>
          <w:iCs/>
        </w:rPr>
        <w:t xml:space="preserve">The Places of Working-Class </w:t>
      </w:r>
      <w:r w:rsidR="003501CB" w:rsidRPr="00280723">
        <w:rPr>
          <w:rFonts w:ascii="Playfair Display" w:hAnsi="Playfair Display" w:cs="Times New Roman"/>
          <w:i/>
          <w:iCs/>
        </w:rPr>
        <w:t>Cultural Production</w:t>
      </w:r>
      <w:r w:rsidRPr="00280723">
        <w:rPr>
          <w:rFonts w:ascii="Playfair Display" w:hAnsi="Playfair Display" w:cs="Times New Roman"/>
        </w:rPr>
        <w:t xml:space="preserve"> </w:t>
      </w:r>
    </w:p>
    <w:p w14:paraId="41F3B989" w14:textId="5B2A5B05" w:rsidR="007266B5" w:rsidRPr="00280723" w:rsidRDefault="003501CB" w:rsidP="007266B5">
      <w:pPr>
        <w:pStyle w:val="ListParagraph"/>
        <w:numPr>
          <w:ilvl w:val="0"/>
          <w:numId w:val="2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>How did industrial workers produce/engage with specific forms of cultural production</w:t>
      </w:r>
      <w:r w:rsidR="007266B5" w:rsidRPr="00280723">
        <w:rPr>
          <w:rFonts w:ascii="Playfair Display" w:hAnsi="Playfair Display" w:cs="Times New Roman"/>
        </w:rPr>
        <w:t>?</w:t>
      </w:r>
    </w:p>
    <w:p w14:paraId="437F04F8" w14:textId="109FA8BA" w:rsidR="007266B5" w:rsidRPr="00280723" w:rsidRDefault="007266B5" w:rsidP="007266B5">
      <w:pPr>
        <w:pStyle w:val="ListParagraph"/>
        <w:numPr>
          <w:ilvl w:val="0"/>
          <w:numId w:val="2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>Where/when was it produced/</w:t>
      </w:r>
      <w:r w:rsidR="003501CB" w:rsidRPr="00280723">
        <w:rPr>
          <w:rFonts w:ascii="Playfair Display" w:hAnsi="Playfair Display" w:cs="Times New Roman"/>
        </w:rPr>
        <w:t>consumed</w:t>
      </w:r>
      <w:r w:rsidRPr="00280723">
        <w:rPr>
          <w:rFonts w:ascii="Playfair Display" w:hAnsi="Playfair Display" w:cs="Times New Roman"/>
        </w:rPr>
        <w:t>?</w:t>
      </w:r>
    </w:p>
    <w:p w14:paraId="405D5EFE" w14:textId="61FA4CDE" w:rsidR="007266B5" w:rsidRPr="00280723" w:rsidRDefault="007266B5" w:rsidP="007266B5">
      <w:pPr>
        <w:pStyle w:val="ListParagraph"/>
        <w:numPr>
          <w:ilvl w:val="0"/>
          <w:numId w:val="2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What </w:t>
      </w:r>
      <w:r w:rsidR="003501CB" w:rsidRPr="00280723">
        <w:rPr>
          <w:rFonts w:ascii="Playfair Display" w:hAnsi="Playfair Display" w:cs="Times New Roman"/>
        </w:rPr>
        <w:t xml:space="preserve">were the </w:t>
      </w:r>
      <w:r w:rsidRPr="00280723">
        <w:rPr>
          <w:rFonts w:ascii="Playfair Display" w:hAnsi="Playfair Display" w:cs="Times New Roman"/>
        </w:rPr>
        <w:t>relationship</w:t>
      </w:r>
      <w:r w:rsidR="003501CB" w:rsidRPr="00280723">
        <w:rPr>
          <w:rFonts w:ascii="Playfair Display" w:hAnsi="Playfair Display" w:cs="Times New Roman"/>
        </w:rPr>
        <w:t xml:space="preserve">s between cultural production and </w:t>
      </w:r>
      <w:r w:rsidRPr="00280723">
        <w:rPr>
          <w:rFonts w:ascii="Playfair Display" w:hAnsi="Playfair Display" w:cs="Times New Roman"/>
        </w:rPr>
        <w:t>key sites of working-class culture such as the workplace, the home and the places of associational culture?</w:t>
      </w:r>
    </w:p>
    <w:p w14:paraId="1ECDD63A" w14:textId="77777777" w:rsidR="007266B5" w:rsidRPr="00280723" w:rsidRDefault="007266B5" w:rsidP="007266B5">
      <w:pPr>
        <w:rPr>
          <w:rFonts w:ascii="Playfair Display" w:hAnsi="Playfair Display" w:cs="Times New Roman"/>
        </w:rPr>
      </w:pPr>
    </w:p>
    <w:p w14:paraId="17EB6529" w14:textId="77777777" w:rsidR="007266B5" w:rsidRPr="00280723" w:rsidRDefault="007266B5" w:rsidP="007266B5">
      <w:p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  <w:i/>
          <w:iCs/>
        </w:rPr>
        <w:t>Modes of Circulation</w:t>
      </w:r>
    </w:p>
    <w:p w14:paraId="35B8D0F5" w14:textId="612EB3AA" w:rsidR="007266B5" w:rsidRPr="00280723" w:rsidRDefault="007266B5" w:rsidP="007266B5">
      <w:pPr>
        <w:pStyle w:val="ListParagraph"/>
        <w:numPr>
          <w:ilvl w:val="0"/>
          <w:numId w:val="3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How did working-class </w:t>
      </w:r>
      <w:r w:rsidR="003501CB" w:rsidRPr="00280723">
        <w:rPr>
          <w:rFonts w:ascii="Playfair Display" w:hAnsi="Playfair Display" w:cs="Times New Roman"/>
        </w:rPr>
        <w:t>cultural producers</w:t>
      </w:r>
      <w:r w:rsidRPr="00280723">
        <w:rPr>
          <w:rFonts w:ascii="Playfair Display" w:hAnsi="Playfair Display" w:cs="Times New Roman"/>
        </w:rPr>
        <w:t xml:space="preserve"> circulate their work?</w:t>
      </w:r>
    </w:p>
    <w:p w14:paraId="4441DDCA" w14:textId="37B86BA8" w:rsidR="007266B5" w:rsidRPr="00280723" w:rsidRDefault="007266B5" w:rsidP="007266B5">
      <w:pPr>
        <w:pStyle w:val="ListParagraph"/>
        <w:numPr>
          <w:ilvl w:val="0"/>
          <w:numId w:val="3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How far did those modes of circulation enable/constrain the content and/or form of </w:t>
      </w:r>
      <w:r w:rsidR="003501CB" w:rsidRPr="00280723">
        <w:rPr>
          <w:rFonts w:ascii="Playfair Display" w:hAnsi="Playfair Display" w:cs="Times New Roman"/>
        </w:rPr>
        <w:t>their</w:t>
      </w:r>
      <w:r w:rsidRPr="00280723">
        <w:rPr>
          <w:rFonts w:ascii="Playfair Display" w:hAnsi="Playfair Display" w:cs="Times New Roman"/>
        </w:rPr>
        <w:t xml:space="preserve"> production?</w:t>
      </w:r>
    </w:p>
    <w:p w14:paraId="3403C6E1" w14:textId="16CC59FC" w:rsidR="007266B5" w:rsidRPr="00280723" w:rsidRDefault="007266B5" w:rsidP="007266B5">
      <w:pPr>
        <w:pStyle w:val="ListParagraph"/>
        <w:numPr>
          <w:ilvl w:val="0"/>
          <w:numId w:val="3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To what extent did working-class </w:t>
      </w:r>
      <w:r w:rsidR="003501CB" w:rsidRPr="00280723">
        <w:rPr>
          <w:rFonts w:ascii="Playfair Display" w:hAnsi="Playfair Display" w:cs="Times New Roman"/>
        </w:rPr>
        <w:t>cultural producers</w:t>
      </w:r>
      <w:r w:rsidRPr="00280723">
        <w:rPr>
          <w:rFonts w:ascii="Playfair Display" w:hAnsi="Playfair Display" w:cs="Times New Roman"/>
        </w:rPr>
        <w:t xml:space="preserve"> participate in </w:t>
      </w:r>
      <w:r w:rsidR="003501CB" w:rsidRPr="00280723">
        <w:rPr>
          <w:rFonts w:ascii="Playfair Display" w:hAnsi="Playfair Display" w:cs="Times New Roman"/>
        </w:rPr>
        <w:t xml:space="preserve">cultural </w:t>
      </w:r>
      <w:r w:rsidRPr="00280723">
        <w:rPr>
          <w:rFonts w:ascii="Playfair Display" w:hAnsi="Playfair Display" w:cs="Times New Roman"/>
        </w:rPr>
        <w:t>networks</w:t>
      </w:r>
      <w:r w:rsidR="00F17A86">
        <w:rPr>
          <w:rFonts w:ascii="Playfair Display" w:hAnsi="Playfair Display" w:cs="Times New Roman"/>
        </w:rPr>
        <w:t xml:space="preserve"> whether local, regional, national and transnational</w:t>
      </w:r>
      <w:r w:rsidRPr="00280723">
        <w:rPr>
          <w:rFonts w:ascii="Playfair Display" w:hAnsi="Playfair Display" w:cs="Times New Roman"/>
        </w:rPr>
        <w:t>?</w:t>
      </w:r>
    </w:p>
    <w:p w14:paraId="5C828265" w14:textId="52775F27" w:rsidR="007C6EE6" w:rsidRPr="00280723" w:rsidRDefault="007C6EE6" w:rsidP="007C6EE6">
      <w:pPr>
        <w:rPr>
          <w:rFonts w:ascii="Playfair Display" w:hAnsi="Playfair Display" w:cs="Times New Roman"/>
        </w:rPr>
      </w:pPr>
    </w:p>
    <w:p w14:paraId="488A444B" w14:textId="78521327" w:rsidR="007C6EE6" w:rsidRPr="00280723" w:rsidRDefault="007C6EE6" w:rsidP="007C6EE6">
      <w:p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  <w:i/>
          <w:iCs/>
        </w:rPr>
        <w:t>Modes of Production</w:t>
      </w:r>
    </w:p>
    <w:p w14:paraId="7FB5AD3C" w14:textId="168446C2" w:rsidR="007C6EE6" w:rsidRPr="00280723" w:rsidRDefault="007C6EE6" w:rsidP="007C6EE6">
      <w:pPr>
        <w:pStyle w:val="ListParagraph"/>
        <w:numPr>
          <w:ilvl w:val="0"/>
          <w:numId w:val="4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What forms, genres, styles were preferred by working-class </w:t>
      </w:r>
      <w:r w:rsidR="003501CB" w:rsidRPr="00280723">
        <w:rPr>
          <w:rFonts w:ascii="Playfair Display" w:hAnsi="Playfair Display" w:cs="Times New Roman"/>
        </w:rPr>
        <w:t>cultural producers</w:t>
      </w:r>
      <w:r w:rsidRPr="00280723">
        <w:rPr>
          <w:rFonts w:ascii="Playfair Display" w:hAnsi="Playfair Display" w:cs="Times New Roman"/>
        </w:rPr>
        <w:t>?</w:t>
      </w:r>
    </w:p>
    <w:p w14:paraId="3A112B14" w14:textId="00A877E9" w:rsidR="007C6EE6" w:rsidRPr="00280723" w:rsidRDefault="007C6EE6" w:rsidP="007C6EE6">
      <w:pPr>
        <w:pStyle w:val="ListParagraph"/>
        <w:numPr>
          <w:ilvl w:val="0"/>
          <w:numId w:val="4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Did the injection of working-class ‘content’ into established forms precipitate new </w:t>
      </w:r>
      <w:r w:rsidR="003501CB" w:rsidRPr="00280723">
        <w:rPr>
          <w:rFonts w:ascii="Playfair Display" w:hAnsi="Playfair Display" w:cs="Times New Roman"/>
        </w:rPr>
        <w:t>cultural</w:t>
      </w:r>
      <w:r w:rsidRPr="00280723">
        <w:rPr>
          <w:rFonts w:ascii="Playfair Display" w:hAnsi="Playfair Display" w:cs="Times New Roman"/>
        </w:rPr>
        <w:t xml:space="preserve"> forms?</w:t>
      </w:r>
    </w:p>
    <w:p w14:paraId="7A5BC563" w14:textId="284E5DC4" w:rsidR="007C6EE6" w:rsidRPr="00280723" w:rsidRDefault="007C6EE6" w:rsidP="003501CB">
      <w:pPr>
        <w:pStyle w:val="ListParagraph"/>
        <w:numPr>
          <w:ilvl w:val="0"/>
          <w:numId w:val="4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What challenges does working-class </w:t>
      </w:r>
      <w:r w:rsidR="003501CB" w:rsidRPr="00280723">
        <w:rPr>
          <w:rFonts w:ascii="Playfair Display" w:hAnsi="Playfair Display" w:cs="Times New Roman"/>
        </w:rPr>
        <w:t>cultural</w:t>
      </w:r>
      <w:r w:rsidRPr="00280723">
        <w:rPr>
          <w:rFonts w:ascii="Playfair Display" w:hAnsi="Playfair Display" w:cs="Times New Roman"/>
        </w:rPr>
        <w:t xml:space="preserve"> production pose for aesthetic theory?</w:t>
      </w:r>
    </w:p>
    <w:p w14:paraId="295B5702" w14:textId="6C81F361" w:rsidR="007C6EE6" w:rsidRPr="00280723" w:rsidRDefault="007C6EE6" w:rsidP="007C6EE6">
      <w:pPr>
        <w:rPr>
          <w:rFonts w:ascii="Playfair Display" w:hAnsi="Playfair Display" w:cs="Times New Roman"/>
        </w:rPr>
      </w:pPr>
    </w:p>
    <w:p w14:paraId="5062BCA9" w14:textId="3B9D0C5C" w:rsidR="007C6EE6" w:rsidRPr="00280723" w:rsidRDefault="007C6EE6" w:rsidP="007C6EE6">
      <w:p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  <w:i/>
          <w:iCs/>
        </w:rPr>
        <w:t>Purpose and Commitment</w:t>
      </w:r>
    </w:p>
    <w:p w14:paraId="12EFF9DE" w14:textId="29541B13" w:rsidR="007C6EE6" w:rsidRPr="00280723" w:rsidRDefault="007C6EE6" w:rsidP="007C6EE6">
      <w:pPr>
        <w:pStyle w:val="ListParagraph"/>
        <w:numPr>
          <w:ilvl w:val="0"/>
          <w:numId w:val="5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What was the relationship between working-class </w:t>
      </w:r>
      <w:r w:rsidR="003501CB" w:rsidRPr="00280723">
        <w:rPr>
          <w:rFonts w:ascii="Playfair Display" w:hAnsi="Playfair Display" w:cs="Times New Roman"/>
        </w:rPr>
        <w:t>cultural</w:t>
      </w:r>
      <w:r w:rsidRPr="00280723">
        <w:rPr>
          <w:rFonts w:ascii="Playfair Display" w:hAnsi="Playfair Display" w:cs="Times New Roman"/>
        </w:rPr>
        <w:t xml:space="preserve"> production and various forms of political/social organisation?</w:t>
      </w:r>
    </w:p>
    <w:p w14:paraId="2BB64CDC" w14:textId="60CD0FE0" w:rsidR="007C6EE6" w:rsidRPr="00280723" w:rsidRDefault="007C6EE6" w:rsidP="007C6EE6">
      <w:pPr>
        <w:pStyle w:val="ListParagraph"/>
        <w:numPr>
          <w:ilvl w:val="0"/>
          <w:numId w:val="5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What was the relationship between working-class </w:t>
      </w:r>
      <w:r w:rsidR="00223291" w:rsidRPr="00280723">
        <w:rPr>
          <w:rFonts w:ascii="Playfair Display" w:hAnsi="Playfair Display" w:cs="Times New Roman"/>
        </w:rPr>
        <w:t>cultural</w:t>
      </w:r>
      <w:r w:rsidRPr="00280723">
        <w:rPr>
          <w:rFonts w:ascii="Playfair Display" w:hAnsi="Playfair Display" w:cs="Times New Roman"/>
        </w:rPr>
        <w:t xml:space="preserve"> production and mutual improvement/self-help societies?</w:t>
      </w:r>
    </w:p>
    <w:p w14:paraId="44AD8F52" w14:textId="3FFC960D" w:rsidR="00D16B6C" w:rsidRPr="00280723" w:rsidRDefault="00D16B6C" w:rsidP="007C6EE6">
      <w:pPr>
        <w:pStyle w:val="ListParagraph"/>
        <w:numPr>
          <w:ilvl w:val="0"/>
          <w:numId w:val="5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>How do we understand</w:t>
      </w:r>
      <w:r w:rsidR="007C6EE6" w:rsidRPr="00280723">
        <w:rPr>
          <w:rFonts w:ascii="Playfair Display" w:hAnsi="Playfair Display" w:cs="Times New Roman"/>
        </w:rPr>
        <w:t xml:space="preserve"> working-class </w:t>
      </w:r>
      <w:r w:rsidR="00223291" w:rsidRPr="00280723">
        <w:rPr>
          <w:rFonts w:ascii="Playfair Display" w:hAnsi="Playfair Display" w:cs="Times New Roman"/>
        </w:rPr>
        <w:t>cultural</w:t>
      </w:r>
      <w:r w:rsidR="007C6EE6" w:rsidRPr="00280723">
        <w:rPr>
          <w:rFonts w:ascii="Playfair Display" w:hAnsi="Playfair Display" w:cs="Times New Roman"/>
        </w:rPr>
        <w:t xml:space="preserve"> production </w:t>
      </w:r>
      <w:r w:rsidRPr="00280723">
        <w:rPr>
          <w:rFonts w:ascii="Playfair Display" w:hAnsi="Playfair Display" w:cs="Times New Roman"/>
        </w:rPr>
        <w:t>beyond</w:t>
      </w:r>
      <w:r w:rsidR="007C6EE6" w:rsidRPr="00280723">
        <w:rPr>
          <w:rFonts w:ascii="Playfair Display" w:hAnsi="Playfair Display" w:cs="Times New Roman"/>
        </w:rPr>
        <w:t xml:space="preserve"> the workplace and/or the public sphere</w:t>
      </w:r>
      <w:r w:rsidRPr="00280723">
        <w:rPr>
          <w:rFonts w:ascii="Playfair Display" w:hAnsi="Playfair Display" w:cs="Times New Roman"/>
        </w:rPr>
        <w:t>?</w:t>
      </w:r>
    </w:p>
    <w:p w14:paraId="40763603" w14:textId="77777777" w:rsidR="00D16B6C" w:rsidRPr="00280723" w:rsidRDefault="00D16B6C" w:rsidP="00D16B6C">
      <w:pPr>
        <w:rPr>
          <w:rFonts w:ascii="Playfair Display" w:hAnsi="Playfair Display" w:cs="Times New Roman"/>
        </w:rPr>
      </w:pPr>
    </w:p>
    <w:p w14:paraId="5366C8F6" w14:textId="77777777" w:rsidR="00D16B6C" w:rsidRPr="00280723" w:rsidRDefault="00D16B6C" w:rsidP="00D16B6C">
      <w:pPr>
        <w:rPr>
          <w:rFonts w:ascii="Playfair Display" w:hAnsi="Playfair Display" w:cs="Times New Roman"/>
          <w:i/>
          <w:iCs/>
        </w:rPr>
      </w:pPr>
      <w:r w:rsidRPr="00280723">
        <w:rPr>
          <w:rFonts w:ascii="Playfair Display" w:hAnsi="Playfair Display" w:cs="Times New Roman"/>
          <w:i/>
          <w:iCs/>
        </w:rPr>
        <w:t>Beyond the Academy</w:t>
      </w:r>
    </w:p>
    <w:p w14:paraId="6A066B62" w14:textId="008A7735" w:rsidR="007C6EE6" w:rsidRPr="00280723" w:rsidRDefault="00D16B6C" w:rsidP="00D16B6C">
      <w:pPr>
        <w:pStyle w:val="ListParagraph"/>
        <w:numPr>
          <w:ilvl w:val="0"/>
          <w:numId w:val="6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Can C19th working-class </w:t>
      </w:r>
      <w:r w:rsidR="003501CB" w:rsidRPr="00280723">
        <w:rPr>
          <w:rFonts w:ascii="Playfair Display" w:hAnsi="Playfair Display" w:cs="Times New Roman"/>
        </w:rPr>
        <w:t>cultural</w:t>
      </w:r>
      <w:r w:rsidRPr="00280723">
        <w:rPr>
          <w:rFonts w:ascii="Playfair Display" w:hAnsi="Playfair Display" w:cs="Times New Roman"/>
        </w:rPr>
        <w:t xml:space="preserve"> production serve as the basis for creative practice in C21st?</w:t>
      </w:r>
    </w:p>
    <w:p w14:paraId="2E4A7921" w14:textId="1FF5CA70" w:rsidR="00D16B6C" w:rsidRPr="00280723" w:rsidRDefault="00D16B6C" w:rsidP="00D16B6C">
      <w:pPr>
        <w:pStyle w:val="ListParagraph"/>
        <w:numPr>
          <w:ilvl w:val="0"/>
          <w:numId w:val="6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lastRenderedPageBreak/>
        <w:t xml:space="preserve">Can C19th working-class </w:t>
      </w:r>
      <w:r w:rsidR="00223291" w:rsidRPr="00280723">
        <w:rPr>
          <w:rFonts w:ascii="Playfair Display" w:hAnsi="Playfair Display" w:cs="Times New Roman"/>
        </w:rPr>
        <w:t>cultural</w:t>
      </w:r>
      <w:r w:rsidRPr="00280723">
        <w:rPr>
          <w:rFonts w:ascii="Playfair Display" w:hAnsi="Playfair Display" w:cs="Times New Roman"/>
        </w:rPr>
        <w:t xml:space="preserve"> production help us to understand and interpret British industrial heritage?</w:t>
      </w:r>
    </w:p>
    <w:p w14:paraId="6AC18E64" w14:textId="37E47D08" w:rsidR="00D16B6C" w:rsidRPr="00280723" w:rsidRDefault="00D16B6C" w:rsidP="00D16B6C">
      <w:pPr>
        <w:pStyle w:val="ListParagraph"/>
        <w:numPr>
          <w:ilvl w:val="0"/>
          <w:numId w:val="6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>I</w:t>
      </w:r>
      <w:r w:rsidR="004952AA" w:rsidRPr="00280723">
        <w:rPr>
          <w:rFonts w:ascii="Playfair Display" w:hAnsi="Playfair Display" w:cs="Times New Roman"/>
        </w:rPr>
        <w:t>n what ways is</w:t>
      </w:r>
      <w:r w:rsidRPr="00280723">
        <w:rPr>
          <w:rFonts w:ascii="Playfair Display" w:hAnsi="Playfair Display" w:cs="Times New Roman"/>
        </w:rPr>
        <w:t xml:space="preserve"> C19th working-class </w:t>
      </w:r>
      <w:r w:rsidR="00223291" w:rsidRPr="00280723">
        <w:rPr>
          <w:rFonts w:ascii="Playfair Display" w:hAnsi="Playfair Display" w:cs="Times New Roman"/>
        </w:rPr>
        <w:t>cultural</w:t>
      </w:r>
      <w:r w:rsidRPr="00280723">
        <w:rPr>
          <w:rFonts w:ascii="Playfair Display" w:hAnsi="Playfair Display" w:cs="Times New Roman"/>
        </w:rPr>
        <w:t xml:space="preserve"> production </w:t>
      </w:r>
      <w:r w:rsidR="004952AA" w:rsidRPr="00280723">
        <w:rPr>
          <w:rFonts w:ascii="Playfair Display" w:hAnsi="Playfair Display" w:cs="Times New Roman"/>
        </w:rPr>
        <w:t xml:space="preserve">recognized and deployed as </w:t>
      </w:r>
      <w:r w:rsidRPr="00280723">
        <w:rPr>
          <w:rFonts w:ascii="Playfair Display" w:hAnsi="Playfair Display" w:cs="Times New Roman"/>
        </w:rPr>
        <w:t>part of our industrial heritage?</w:t>
      </w:r>
    </w:p>
    <w:p w14:paraId="6C5A4380" w14:textId="47D24A41" w:rsidR="00D16B6C" w:rsidRPr="00280723" w:rsidRDefault="00D16B6C" w:rsidP="00D16B6C">
      <w:pPr>
        <w:rPr>
          <w:rFonts w:ascii="Playfair Display" w:hAnsi="Playfair Display" w:cs="Times New Roman"/>
        </w:rPr>
      </w:pPr>
    </w:p>
    <w:p w14:paraId="20842BA9" w14:textId="04C7491D" w:rsidR="00D16B6C" w:rsidRPr="00280723" w:rsidRDefault="00D16B6C" w:rsidP="00D16B6C">
      <w:pPr>
        <w:rPr>
          <w:rFonts w:ascii="Playfair Display" w:hAnsi="Playfair Display" w:cs="Times New Roman"/>
          <w:i/>
          <w:iCs/>
        </w:rPr>
      </w:pPr>
      <w:r w:rsidRPr="00280723">
        <w:rPr>
          <w:rFonts w:ascii="Playfair Display" w:hAnsi="Playfair Display" w:cs="Times New Roman"/>
          <w:i/>
          <w:iCs/>
        </w:rPr>
        <w:t xml:space="preserve">Working-Class </w:t>
      </w:r>
      <w:r w:rsidR="00223291" w:rsidRPr="00280723">
        <w:rPr>
          <w:rFonts w:ascii="Playfair Display" w:hAnsi="Playfair Display" w:cs="Times New Roman"/>
          <w:i/>
          <w:iCs/>
        </w:rPr>
        <w:t>Cultural Production</w:t>
      </w:r>
      <w:r w:rsidRPr="00280723">
        <w:rPr>
          <w:rFonts w:ascii="Playfair Display" w:hAnsi="Playfair Display" w:cs="Times New Roman"/>
          <w:i/>
          <w:iCs/>
        </w:rPr>
        <w:t xml:space="preserve"> In/As History</w:t>
      </w:r>
    </w:p>
    <w:p w14:paraId="27A99B8C" w14:textId="4A635C77" w:rsidR="00D16B6C" w:rsidRPr="00280723" w:rsidRDefault="00D16B6C" w:rsidP="00D16B6C">
      <w:pPr>
        <w:pStyle w:val="ListParagraph"/>
        <w:numPr>
          <w:ilvl w:val="0"/>
          <w:numId w:val="9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Does working-class </w:t>
      </w:r>
      <w:r w:rsidR="00223291" w:rsidRPr="00280723">
        <w:rPr>
          <w:rFonts w:ascii="Playfair Display" w:hAnsi="Playfair Display" w:cs="Times New Roman"/>
        </w:rPr>
        <w:t>cultural production</w:t>
      </w:r>
      <w:r w:rsidRPr="00280723">
        <w:rPr>
          <w:rFonts w:ascii="Playfair Display" w:hAnsi="Playfair Display" w:cs="Times New Roman"/>
        </w:rPr>
        <w:t xml:space="preserve"> constitute a distinctive form of historical knowledge?</w:t>
      </w:r>
    </w:p>
    <w:p w14:paraId="0F8E7E49" w14:textId="042469EF" w:rsidR="00D16B6C" w:rsidRPr="00280723" w:rsidRDefault="00D16B6C" w:rsidP="00223291">
      <w:pPr>
        <w:pStyle w:val="ListParagraph"/>
        <w:numPr>
          <w:ilvl w:val="0"/>
          <w:numId w:val="9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>How did working-class writers respond to ‘historical’ events?</w:t>
      </w:r>
    </w:p>
    <w:p w14:paraId="1E78EF49" w14:textId="12C16205" w:rsidR="003501CB" w:rsidRPr="00280723" w:rsidRDefault="003501CB" w:rsidP="003501CB">
      <w:pPr>
        <w:pStyle w:val="ListParagraph"/>
        <w:numPr>
          <w:ilvl w:val="0"/>
          <w:numId w:val="9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How did the working class engage with </w:t>
      </w:r>
      <w:r w:rsidR="00223291" w:rsidRPr="00280723">
        <w:rPr>
          <w:rFonts w:ascii="Playfair Display" w:hAnsi="Playfair Display" w:cs="Times New Roman"/>
        </w:rPr>
        <w:t>middle-class and elite</w:t>
      </w:r>
      <w:r w:rsidRPr="00280723">
        <w:rPr>
          <w:rFonts w:ascii="Playfair Display" w:hAnsi="Playfair Display" w:cs="Times New Roman"/>
        </w:rPr>
        <w:t xml:space="preserve"> culture? What did they </w:t>
      </w:r>
      <w:r w:rsidR="00223291" w:rsidRPr="00280723">
        <w:rPr>
          <w:rFonts w:ascii="Playfair Display" w:hAnsi="Playfair Display" w:cs="Times New Roman"/>
        </w:rPr>
        <w:t>engage with and where?</w:t>
      </w:r>
    </w:p>
    <w:p w14:paraId="4D6A2E76" w14:textId="5BA28F69" w:rsidR="00D16B6C" w:rsidRPr="00280723" w:rsidRDefault="00D16B6C" w:rsidP="00D16B6C">
      <w:pPr>
        <w:rPr>
          <w:rFonts w:ascii="Playfair Display" w:hAnsi="Playfair Display" w:cs="Times New Roman"/>
        </w:rPr>
      </w:pPr>
    </w:p>
    <w:p w14:paraId="06649474" w14:textId="6DE41D30" w:rsidR="00D16B6C" w:rsidRPr="00280723" w:rsidRDefault="00D16B6C" w:rsidP="00D16B6C">
      <w:p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  <w:i/>
          <w:iCs/>
        </w:rPr>
        <w:t>Retrieval and Celebration</w:t>
      </w:r>
    </w:p>
    <w:p w14:paraId="63409E64" w14:textId="3D223003" w:rsidR="00D16B6C" w:rsidRPr="00280723" w:rsidRDefault="00D16B6C" w:rsidP="00D16B6C">
      <w:pPr>
        <w:pStyle w:val="ListParagraph"/>
        <w:numPr>
          <w:ilvl w:val="0"/>
          <w:numId w:val="10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>How does recovery/retrieval work affect our understanding of C19th culture?</w:t>
      </w:r>
    </w:p>
    <w:p w14:paraId="7B45932C" w14:textId="523D15D2" w:rsidR="00C920C5" w:rsidRPr="00280723" w:rsidRDefault="00C920C5" w:rsidP="00D16B6C">
      <w:pPr>
        <w:pStyle w:val="ListParagraph"/>
        <w:numPr>
          <w:ilvl w:val="0"/>
          <w:numId w:val="10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‘Forgotten’ working-class </w:t>
      </w:r>
      <w:r w:rsidR="00223291" w:rsidRPr="00280723">
        <w:rPr>
          <w:rFonts w:ascii="Playfair Display" w:hAnsi="Playfair Display" w:cs="Times New Roman"/>
        </w:rPr>
        <w:t>cultural producers</w:t>
      </w:r>
      <w:r w:rsidRPr="00280723">
        <w:rPr>
          <w:rFonts w:ascii="Playfair Display" w:hAnsi="Playfair Display" w:cs="Times New Roman"/>
        </w:rPr>
        <w:t xml:space="preserve"> and their role in </w:t>
      </w:r>
      <w:r w:rsidR="00223291" w:rsidRPr="00280723">
        <w:rPr>
          <w:rFonts w:ascii="Playfair Display" w:hAnsi="Playfair Display" w:cs="Times New Roman"/>
        </w:rPr>
        <w:t>C19th</w:t>
      </w:r>
      <w:r w:rsidRPr="00280723">
        <w:rPr>
          <w:rFonts w:ascii="Playfair Display" w:hAnsi="Playfair Display" w:cs="Times New Roman"/>
        </w:rPr>
        <w:t xml:space="preserve"> culture.</w:t>
      </w:r>
    </w:p>
    <w:p w14:paraId="371FC90E" w14:textId="2B95AF6A" w:rsidR="00C920C5" w:rsidRPr="00280723" w:rsidRDefault="00C920C5" w:rsidP="00D16B6C">
      <w:pPr>
        <w:pStyle w:val="ListParagraph"/>
        <w:numPr>
          <w:ilvl w:val="0"/>
          <w:numId w:val="10"/>
        </w:num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Pioneering scholars of working-class </w:t>
      </w:r>
      <w:r w:rsidR="00223291" w:rsidRPr="00280723">
        <w:rPr>
          <w:rFonts w:ascii="Playfair Display" w:hAnsi="Playfair Display" w:cs="Times New Roman"/>
        </w:rPr>
        <w:t>cultural productions</w:t>
      </w:r>
      <w:r w:rsidRPr="00280723">
        <w:rPr>
          <w:rFonts w:ascii="Playfair Display" w:hAnsi="Playfair Display" w:cs="Times New Roman"/>
        </w:rPr>
        <w:t>.</w:t>
      </w:r>
    </w:p>
    <w:p w14:paraId="7D53CD4D" w14:textId="12F80247" w:rsidR="00C920C5" w:rsidRPr="00280723" w:rsidRDefault="00C920C5" w:rsidP="00C920C5">
      <w:pPr>
        <w:rPr>
          <w:rFonts w:ascii="Playfair Display" w:hAnsi="Playfair Display" w:cs="Times New Roman"/>
        </w:rPr>
      </w:pPr>
    </w:p>
    <w:p w14:paraId="04BC0485" w14:textId="4ADAC764" w:rsidR="00280723" w:rsidRPr="00280723" w:rsidRDefault="004952AA" w:rsidP="00C920C5">
      <w:pPr>
        <w:rPr>
          <w:rFonts w:ascii="Playfair Display" w:hAnsi="Playfair Display" w:cs="Times New Roman"/>
          <w:b/>
          <w:bCs/>
        </w:rPr>
      </w:pPr>
      <w:r w:rsidRPr="00280723">
        <w:rPr>
          <w:rFonts w:ascii="Playfair Display" w:hAnsi="Playfair Display" w:cs="Times New Roman"/>
        </w:rPr>
        <w:t xml:space="preserve">While we anticipate that most presenters will have a standard </w:t>
      </w:r>
      <w:proofErr w:type="gramStart"/>
      <w:r w:rsidRPr="00280723">
        <w:rPr>
          <w:rFonts w:ascii="Playfair Display" w:hAnsi="Playfair Display" w:cs="Times New Roman"/>
        </w:rPr>
        <w:t>20 minute</w:t>
      </w:r>
      <w:proofErr w:type="gramEnd"/>
      <w:r w:rsidRPr="00280723">
        <w:rPr>
          <w:rFonts w:ascii="Playfair Display" w:hAnsi="Playfair Display" w:cs="Times New Roman"/>
        </w:rPr>
        <w:t xml:space="preserve"> slot, we are open to forms of presentation that go beyond the traditional conference paper</w:t>
      </w:r>
      <w:r w:rsidR="00385DA2">
        <w:rPr>
          <w:rFonts w:ascii="Playfair Display" w:hAnsi="Playfair Display" w:cs="Times New Roman"/>
        </w:rPr>
        <w:t>,</w:t>
      </w:r>
      <w:r w:rsidRPr="00280723">
        <w:rPr>
          <w:rFonts w:ascii="Playfair Display" w:hAnsi="Playfair Display" w:cs="Times New Roman"/>
        </w:rPr>
        <w:t xml:space="preserve"> and to suggestions for themed panels or roundtable sessions</w:t>
      </w:r>
      <w:r w:rsidR="00223291" w:rsidRPr="00280723">
        <w:rPr>
          <w:rFonts w:ascii="Playfair Display" w:hAnsi="Playfair Display" w:cs="Times New Roman"/>
        </w:rPr>
        <w:t xml:space="preserve">. </w:t>
      </w:r>
      <w:r w:rsidR="00280723" w:rsidRPr="00280723">
        <w:rPr>
          <w:rFonts w:ascii="Playfair Display" w:hAnsi="Playfair Display" w:cs="Times New Roman"/>
          <w:b/>
          <w:bCs/>
        </w:rPr>
        <w:t xml:space="preserve">This conference will be held in person, </w:t>
      </w:r>
      <w:r w:rsidR="00385DA2">
        <w:rPr>
          <w:rFonts w:ascii="Playfair Display" w:hAnsi="Playfair Display" w:cs="Times New Roman"/>
          <w:b/>
          <w:bCs/>
        </w:rPr>
        <w:t xml:space="preserve">subject to any ongoing restrictions at the time, </w:t>
      </w:r>
      <w:r w:rsidR="00280723" w:rsidRPr="00280723">
        <w:rPr>
          <w:rFonts w:ascii="Playfair Display" w:hAnsi="Playfair Display" w:cs="Times New Roman"/>
          <w:b/>
          <w:bCs/>
        </w:rPr>
        <w:t xml:space="preserve">but we will aim to make some of the materials available online and to offer remote participation where feasible. If you wish to participate and </w:t>
      </w:r>
      <w:r w:rsidR="00280723" w:rsidRPr="00280723">
        <w:rPr>
          <w:rFonts w:ascii="Playfair Display" w:hAnsi="Playfair Display" w:cs="Times New Roman"/>
          <w:b/>
          <w:bCs/>
          <w:i/>
          <w:iCs/>
        </w:rPr>
        <w:t>cannot</w:t>
      </w:r>
      <w:r w:rsidR="00280723" w:rsidRPr="00280723">
        <w:rPr>
          <w:rFonts w:ascii="Playfair Display" w:hAnsi="Playfair Display" w:cs="Times New Roman"/>
          <w:b/>
          <w:bCs/>
        </w:rPr>
        <w:t xml:space="preserve"> attend in person, please signal this with your proposal. </w:t>
      </w:r>
    </w:p>
    <w:p w14:paraId="4DA1DF65" w14:textId="77777777" w:rsidR="00280723" w:rsidRPr="00280723" w:rsidRDefault="00280723" w:rsidP="00C920C5">
      <w:pPr>
        <w:rPr>
          <w:rFonts w:ascii="Playfair Display" w:hAnsi="Playfair Display" w:cs="Times New Roman"/>
          <w:b/>
          <w:bCs/>
        </w:rPr>
      </w:pPr>
    </w:p>
    <w:p w14:paraId="3834C549" w14:textId="6398EEF1" w:rsidR="00BE5A00" w:rsidRPr="00280723" w:rsidRDefault="00280723" w:rsidP="00C920C5">
      <w:pPr>
        <w:rPr>
          <w:rFonts w:ascii="Playfair Display" w:hAnsi="Playfair Display" w:cs="Times New Roman"/>
          <w:b/>
          <w:bCs/>
        </w:rPr>
      </w:pPr>
      <w:r w:rsidRPr="00280723">
        <w:rPr>
          <w:rFonts w:ascii="Playfair Display" w:hAnsi="Playfair Display" w:cs="Times New Roman"/>
        </w:rPr>
        <w:t xml:space="preserve">Registration and catering will be free for all presenters. There will be a limited number of conference bursaries for UK travel and accommodation available for PhD/early career/independent scholars </w:t>
      </w:r>
      <w:r w:rsidR="00385DA2">
        <w:rPr>
          <w:rFonts w:ascii="Playfair Display" w:hAnsi="Playfair Display" w:cs="Times New Roman"/>
        </w:rPr>
        <w:t>or</w:t>
      </w:r>
      <w:r w:rsidRPr="00280723">
        <w:rPr>
          <w:rFonts w:ascii="Playfair Display" w:hAnsi="Playfair Display" w:cs="Times New Roman"/>
        </w:rPr>
        <w:t xml:space="preserve"> creative/heritage professionals not in receipt of institutional funding. </w:t>
      </w:r>
      <w:r w:rsidRPr="00280723">
        <w:rPr>
          <w:rFonts w:ascii="Playfair Display" w:hAnsi="Playfair Display" w:cs="Times New Roman"/>
          <w:b/>
          <w:bCs/>
        </w:rPr>
        <w:t xml:space="preserve">Please signal your wish to be considered for a bursary in the email accompanying your proposal. </w:t>
      </w:r>
    </w:p>
    <w:p w14:paraId="43CE2C11" w14:textId="77777777" w:rsidR="00223291" w:rsidRPr="00280723" w:rsidRDefault="00223291" w:rsidP="00C920C5">
      <w:pPr>
        <w:rPr>
          <w:rFonts w:ascii="Playfair Display" w:hAnsi="Playfair Display" w:cs="Times New Roman"/>
        </w:rPr>
      </w:pPr>
    </w:p>
    <w:p w14:paraId="0A4D649C" w14:textId="2F8A8C81" w:rsidR="00BE5A00" w:rsidRPr="00856B11" w:rsidRDefault="00460DAB" w:rsidP="00C920C5">
      <w:p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Deadline for proposals: </w:t>
      </w:r>
      <w:r w:rsidR="00856B11">
        <w:rPr>
          <w:rFonts w:ascii="Playfair Display" w:hAnsi="Playfair Display" w:cs="Times New Roman"/>
          <w:u w:val="single"/>
        </w:rPr>
        <w:t xml:space="preserve">Friday </w:t>
      </w:r>
      <w:r w:rsidR="00103D2A">
        <w:rPr>
          <w:rFonts w:ascii="Playfair Display" w:hAnsi="Playfair Display" w:cs="Times New Roman"/>
          <w:u w:val="single"/>
        </w:rPr>
        <w:t>18</w:t>
      </w:r>
      <w:r w:rsidR="00856B11" w:rsidRPr="00856B11">
        <w:rPr>
          <w:rFonts w:ascii="Playfair Display" w:hAnsi="Playfair Display" w:cs="Times New Roman"/>
          <w:u w:val="single"/>
          <w:vertAlign w:val="superscript"/>
        </w:rPr>
        <w:t>th</w:t>
      </w:r>
      <w:r w:rsidR="00856B11">
        <w:rPr>
          <w:rFonts w:ascii="Playfair Display" w:hAnsi="Playfair Display" w:cs="Times New Roman"/>
          <w:u w:val="single"/>
        </w:rPr>
        <w:t xml:space="preserve"> March</w:t>
      </w:r>
      <w:r w:rsidRPr="00280723">
        <w:rPr>
          <w:rFonts w:ascii="Playfair Display" w:hAnsi="Playfair Display" w:cs="Times New Roman"/>
          <w:u w:val="single"/>
        </w:rPr>
        <w:t>, 2022</w:t>
      </w:r>
      <w:r w:rsidR="00856B11">
        <w:rPr>
          <w:rFonts w:ascii="Playfair Display" w:hAnsi="Playfair Display" w:cs="Times New Roman"/>
        </w:rPr>
        <w:t xml:space="preserve">. Acceptances will be issued by </w:t>
      </w:r>
      <w:r w:rsidR="00BD7A3C">
        <w:rPr>
          <w:rFonts w:ascii="Playfair Display" w:hAnsi="Playfair Display" w:cs="Times New Roman"/>
        </w:rPr>
        <w:t>8 April</w:t>
      </w:r>
      <w:r w:rsidR="00856B11">
        <w:rPr>
          <w:rFonts w:ascii="Playfair Display" w:hAnsi="Playfair Display" w:cs="Times New Roman"/>
        </w:rPr>
        <w:t xml:space="preserve"> 2022. </w:t>
      </w:r>
    </w:p>
    <w:p w14:paraId="2AC7AF72" w14:textId="77777777" w:rsidR="00460DAB" w:rsidRPr="00280723" w:rsidRDefault="00460DAB" w:rsidP="00C920C5">
      <w:pPr>
        <w:rPr>
          <w:rFonts w:ascii="Playfair Display" w:hAnsi="Playfair Display" w:cs="Times New Roman"/>
        </w:rPr>
      </w:pPr>
    </w:p>
    <w:p w14:paraId="0D8ED966" w14:textId="51FAA0D5" w:rsidR="00C920C5" w:rsidRPr="00280723" w:rsidRDefault="00C920C5" w:rsidP="00C920C5">
      <w:pPr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>Please send proposals (250 words max) plus a brief cv (2 pages max) to</w:t>
      </w:r>
      <w:r w:rsidR="004952AA" w:rsidRPr="00280723">
        <w:rPr>
          <w:rFonts w:ascii="Playfair Display" w:hAnsi="Playfair Display" w:cs="Times New Roman"/>
        </w:rPr>
        <w:t xml:space="preserve"> </w:t>
      </w:r>
      <w:r w:rsidR="004952AA" w:rsidRPr="00280723">
        <w:rPr>
          <w:rFonts w:ascii="Playfair Display" w:hAnsi="Playfair Display" w:cs="Times New Roman"/>
          <w:b/>
          <w:bCs/>
        </w:rPr>
        <w:t>pistonpenandpress@gmail.com</w:t>
      </w:r>
    </w:p>
    <w:p w14:paraId="13975599" w14:textId="0412D4CF" w:rsidR="00BE5A00" w:rsidRPr="00280723" w:rsidRDefault="00BE5A00" w:rsidP="00C920C5">
      <w:pPr>
        <w:rPr>
          <w:rFonts w:ascii="Playfair Display" w:hAnsi="Playfair Display" w:cs="Times New Roman"/>
        </w:rPr>
      </w:pPr>
    </w:p>
    <w:p w14:paraId="55C5CB9D" w14:textId="77777777" w:rsidR="004952AA" w:rsidRPr="00280723" w:rsidRDefault="004952AA" w:rsidP="00C920C5">
      <w:pPr>
        <w:contextualSpacing/>
        <w:rPr>
          <w:rFonts w:ascii="Playfair Display" w:hAnsi="Playfair Display" w:cs="Times New Roman"/>
          <w:b/>
          <w:bCs/>
        </w:rPr>
      </w:pPr>
      <w:r w:rsidRPr="00280723">
        <w:rPr>
          <w:rFonts w:ascii="Playfair Display" w:hAnsi="Playfair Display" w:cs="Times New Roman"/>
          <w:b/>
          <w:bCs/>
        </w:rPr>
        <w:t>Organizing committee:</w:t>
      </w:r>
    </w:p>
    <w:p w14:paraId="32DBFA05" w14:textId="77777777" w:rsidR="004952AA" w:rsidRPr="00280723" w:rsidRDefault="004952AA" w:rsidP="00C920C5">
      <w:pPr>
        <w:contextualSpacing/>
        <w:rPr>
          <w:rFonts w:ascii="Playfair Display" w:hAnsi="Playfair Display" w:cs="Times New Roman"/>
          <w:b/>
          <w:bCs/>
        </w:rPr>
      </w:pPr>
    </w:p>
    <w:p w14:paraId="59D49C69" w14:textId="5908212E" w:rsidR="00BE5A00" w:rsidRPr="00280723" w:rsidRDefault="00BE5A00" w:rsidP="00C920C5">
      <w:pPr>
        <w:contextualSpacing/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Oliver Betts (National Railway Museum): </w:t>
      </w:r>
      <w:hyperlink r:id="rId7" w:history="1">
        <w:r w:rsidR="00460DAB" w:rsidRPr="00280723">
          <w:rPr>
            <w:rStyle w:val="Hyperlink"/>
            <w:rFonts w:ascii="Playfair Display" w:hAnsi="Playfair Display" w:cs="Times New Roman"/>
          </w:rPr>
          <w:t>Oliver.Betts@railwaymuseum.org.uk</w:t>
        </w:r>
      </w:hyperlink>
    </w:p>
    <w:p w14:paraId="7B097B5B" w14:textId="27EDB542" w:rsidR="00460DAB" w:rsidRPr="00280723" w:rsidRDefault="00BE5A00" w:rsidP="00C920C5">
      <w:pPr>
        <w:contextualSpacing/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>Kirstie Blair (University of Strathclyde):</w:t>
      </w:r>
      <w:r w:rsidR="00460DAB" w:rsidRPr="00280723">
        <w:rPr>
          <w:rFonts w:ascii="Playfair Display" w:hAnsi="Playfair Display" w:cs="Times New Roman"/>
        </w:rPr>
        <w:t xml:space="preserve"> </w:t>
      </w:r>
      <w:hyperlink r:id="rId8" w:history="1">
        <w:r w:rsidR="00460DAB" w:rsidRPr="00280723">
          <w:rPr>
            <w:rStyle w:val="Hyperlink"/>
            <w:rFonts w:ascii="Playfair Display" w:hAnsi="Playfair Display" w:cs="Times New Roman"/>
          </w:rPr>
          <w:t>kirstie.blair@strath.ac.uk</w:t>
        </w:r>
      </w:hyperlink>
    </w:p>
    <w:p w14:paraId="5BC79891" w14:textId="5831A2BD" w:rsidR="004F4467" w:rsidRPr="00280723" w:rsidRDefault="00BE5A00" w:rsidP="004F4467">
      <w:pPr>
        <w:contextualSpacing/>
        <w:rPr>
          <w:rFonts w:ascii="Playfair Display" w:hAnsi="Playfair Display" w:cs="Times New Roman"/>
        </w:rPr>
      </w:pPr>
      <w:r w:rsidRPr="00280723">
        <w:rPr>
          <w:rFonts w:ascii="Playfair Display" w:hAnsi="Playfair Display" w:cs="Times New Roman"/>
        </w:rPr>
        <w:t xml:space="preserve">Mike Sanders (University of Manchester): </w:t>
      </w:r>
      <w:hyperlink r:id="rId9" w:history="1">
        <w:r w:rsidR="00460DAB" w:rsidRPr="00280723">
          <w:rPr>
            <w:rStyle w:val="Hyperlink"/>
            <w:rFonts w:ascii="Playfair Display" w:hAnsi="Playfair Display" w:cs="Times New Roman"/>
          </w:rPr>
          <w:t>michael.sanders@manchester.ac.uk</w:t>
        </w:r>
      </w:hyperlink>
    </w:p>
    <w:sectPr w:rsidR="004F4467" w:rsidRPr="00280723" w:rsidSect="00796A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CF6"/>
    <w:multiLevelType w:val="hybridMultilevel"/>
    <w:tmpl w:val="7B2A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21E7"/>
    <w:multiLevelType w:val="hybridMultilevel"/>
    <w:tmpl w:val="9E16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872B9"/>
    <w:multiLevelType w:val="hybridMultilevel"/>
    <w:tmpl w:val="F1226E40"/>
    <w:lvl w:ilvl="0" w:tplc="08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 w15:restartNumberingAfterBreak="0">
    <w:nsid w:val="30184FC7"/>
    <w:multiLevelType w:val="hybridMultilevel"/>
    <w:tmpl w:val="78A6E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07846"/>
    <w:multiLevelType w:val="hybridMultilevel"/>
    <w:tmpl w:val="E15C45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942B15"/>
    <w:multiLevelType w:val="hybridMultilevel"/>
    <w:tmpl w:val="0C0458D2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42601D8F"/>
    <w:multiLevelType w:val="hybridMultilevel"/>
    <w:tmpl w:val="47F4B6F6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5E510454"/>
    <w:multiLevelType w:val="hybridMultilevel"/>
    <w:tmpl w:val="627EE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67D7F"/>
    <w:multiLevelType w:val="hybridMultilevel"/>
    <w:tmpl w:val="6EF2D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22E24"/>
    <w:multiLevelType w:val="hybridMultilevel"/>
    <w:tmpl w:val="A35C6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F2"/>
    <w:rsid w:val="00103D2A"/>
    <w:rsid w:val="00223291"/>
    <w:rsid w:val="00280723"/>
    <w:rsid w:val="0028730E"/>
    <w:rsid w:val="003501CB"/>
    <w:rsid w:val="00385DA2"/>
    <w:rsid w:val="0045698C"/>
    <w:rsid w:val="00460DAB"/>
    <w:rsid w:val="004952AA"/>
    <w:rsid w:val="004F4467"/>
    <w:rsid w:val="005D1AD3"/>
    <w:rsid w:val="007266B5"/>
    <w:rsid w:val="00796ABD"/>
    <w:rsid w:val="007C6EE6"/>
    <w:rsid w:val="00856B11"/>
    <w:rsid w:val="008637DE"/>
    <w:rsid w:val="0098796E"/>
    <w:rsid w:val="009A5E27"/>
    <w:rsid w:val="00A851E3"/>
    <w:rsid w:val="00BD7A3C"/>
    <w:rsid w:val="00BE5A00"/>
    <w:rsid w:val="00C920C5"/>
    <w:rsid w:val="00CC6691"/>
    <w:rsid w:val="00D16B6C"/>
    <w:rsid w:val="00E425B4"/>
    <w:rsid w:val="00ED67F2"/>
    <w:rsid w:val="00F17A86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FEEFB"/>
  <w15:chartTrackingRefBased/>
  <w15:docId w15:val="{A1AA81B6-4064-364E-BEA2-42F92ADD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A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3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E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ie.blair@strath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ver.Betts@railwaymuseu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stonpenandpres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el.sanders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</dc:creator>
  <cp:keywords/>
  <dc:description/>
  <cp:lastModifiedBy>Kirstie Blair</cp:lastModifiedBy>
  <cp:revision>3</cp:revision>
  <dcterms:created xsi:type="dcterms:W3CDTF">2022-03-04T15:02:00Z</dcterms:created>
  <dcterms:modified xsi:type="dcterms:W3CDTF">2022-03-04T15:28:00Z</dcterms:modified>
</cp:coreProperties>
</file>